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2130E6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A6DFA">
        <w:rPr>
          <w:rFonts w:ascii="Arial" w:eastAsia="Arial" w:hAnsi="Arial" w:cs="Arial"/>
          <w:b/>
          <w:bCs/>
          <w:sz w:val="20"/>
          <w:szCs w:val="20"/>
        </w:rPr>
        <w:t>Strategie rozvoje autonomní mobility v Karlovarském kraji 2025-2030</w:t>
      </w:r>
      <w:r w:rsidR="00B133DF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A6DFA"/>
    <w:rsid w:val="003B6DE8"/>
    <w:rsid w:val="003E299F"/>
    <w:rsid w:val="00401F7C"/>
    <w:rsid w:val="00425D33"/>
    <w:rsid w:val="0048435D"/>
    <w:rsid w:val="004A242C"/>
    <w:rsid w:val="00506346"/>
    <w:rsid w:val="00543E73"/>
    <w:rsid w:val="00571AEC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133DF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11</cp:revision>
  <dcterms:created xsi:type="dcterms:W3CDTF">2023-03-28T08:13:00Z</dcterms:created>
  <dcterms:modified xsi:type="dcterms:W3CDTF">2024-06-20T09:34:00Z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